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Damien Riehl</w:t>
      </w:r>
    </w:p>
    <w:p>
      <w:pPr>
        <w:jc w:val="center"/>
      </w:pPr>
      <w:r>
        <w:rPr>
          <w:sz w:val="19"/>
        </w:rPr>
        <w:t>Greater Minneapolis–St. Paul  ·  damienriehl@gmail.com  ·  linkedin.com/in/damienriehl</w:t>
      </w:r>
    </w:p>
    <w:p>
      <w:pPr>
        <w:jc w:val="center"/>
      </w:pPr>
      <w:r>
        <w:rPr>
          <w:sz w:val="19"/>
        </w:rPr>
        <w:t>Bar admissions: Minnesota; U.S. federal courts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SUMMARY</w:t>
      </w:r>
    </w:p>
    <w:p>
      <w:r>
        <w:t>Lawyer and technologist with 25+ years at the intersection of courts, code, and the rule of law. Clerk to two chief judges (Minnesota Court of Appeals; U.S. District Court, D. Minn.); complex-litigation attorney; digital-forensics lead; and architect of the open legal-data standards (SALI/FOLIO — an OWL knowledge graph) that make legal AI verifiable. Now at Clio, helping build Vincent across a 110+-country legal dataset. Cited by a U.S. federal court; two issued patents; three trial-practice books; chair of a state bar's access-to-justice AI work.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CORE COMPETENCIES</w:t>
      </w:r>
    </w:p>
    <w:p>
      <w:r>
        <w:t>Legal AI evaluation · Legal-data standards &amp; ontologies (SALI, FOLIO, OWL/RDFS) · Rule-of-law &amp; AI governance · Access to justice · Litigation &amp; complex disputes · Digital forensics &amp; cybersecurity · AI/ML/NLP for law · Public policy &amp; appointments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SELECTED ACHIEVEMENTS</w:t>
      </w:r>
    </w:p>
    <w:p>
      <w:pPr>
        <w:pStyle w:val="ListBullet"/>
        <w:spacing w:after="40"/>
      </w:pPr>
      <w:r>
        <w:t>Cited by a U.S. federal court — Kohls v. Ellison, No. 24-cv-3754, 2025 WL 66514 (D. Minn. Jan. 10, 2025), which struck an expert declaration built on AI-fabricated citations.</w:t>
      </w:r>
    </w:p>
    <w:p>
      <w:pPr>
        <w:pStyle w:val="ListBullet"/>
        <w:spacing w:after="40"/>
      </w:pPr>
      <w:r>
        <w:t>Architect of legal-data standards — led SALI for five years, growing the open SALI/FOLIO ontology (OWL/RDFS) from ~1,000 to 18,000+ machine-readable tags adopted by the world's largest law firms, legal-tech companies, and corporations.</w:t>
      </w:r>
    </w:p>
    <w:p>
      <w:pPr>
        <w:pStyle w:val="ListBullet"/>
        <w:spacing w:after="40"/>
      </w:pPr>
      <w:r>
        <w:t>Two issued U.S. patents (named inventor) — US 11,868,936 B2, legal workflow &amp; practice management (with Thomson Reuters: structuring every legal task across the matter lifecycle); and US 12,153,886 B2, structuring litigation dockets via “pleading tags” to power data-driven analytics (with Fastcase) — the workflow and data systems legal AI is built on.</w:t>
      </w:r>
    </w:p>
    <w:p>
      <w:pPr>
        <w:pStyle w:val="ListBullet"/>
        <w:spacing w:after="40"/>
      </w:pPr>
      <w:r>
        <w:t>Co-organized a January 2026 open letter supporting the rule of law, signed by more than 650 legal professionals.</w:t>
      </w:r>
    </w:p>
    <w:p>
      <w:pPr>
        <w:pStyle w:val="ListBullet"/>
        <w:spacing w:after="40"/>
      </w:pPr>
      <w:r>
        <w:t>All the Music — co-founded the project that brute-forced every melody that can exist (471 billion) and released them to the public domain (CC0).</w:t>
      </w:r>
    </w:p>
    <w:p>
      <w:pPr>
        <w:pStyle w:val="ListBullet"/>
        <w:spacing w:after="40"/>
      </w:pPr>
      <w:r>
        <w:t>Recognition — selected for the Financial Times FT Law 50 (2026; announced June 2026, London); named by the FT among the “six champions of generative AI innovation” (2023).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EXPERIENCE</w:t>
      </w:r>
    </w:p>
    <w:p>
      <w:pPr>
        <w:tabs>
          <w:tab w:pos="10224" w:val="right"/>
        </w:tabs>
        <w:spacing w:before="120" w:after="0"/>
      </w:pPr>
      <w:r>
        <w:rPr>
          <w:b/>
        </w:rPr>
        <w:t>Solutions Champion</w:t>
      </w:r>
      <w:r>
        <w:t>, Clio</w:t>
      </w:r>
      <w:r>
        <w:rPr>
          <w:i/>
        </w:rPr>
        <w:tab/>
        <w:t>Nov 2025 – present</w:t>
      </w:r>
    </w:p>
    <w:p>
      <w:pPr>
        <w:pStyle w:val="ListBullet"/>
        <w:spacing w:after="40"/>
      </w:pPr>
      <w:r>
        <w:t>Builds legal technology and travels worldwide on AI for law. Helps build Vincent — which runs 50-state and multi-country legal surveys across a dataset of 110+ countries — parsing substantive law (cases, statutes, regulations, motions, briefs, pleadings, orders). Same team since 2019: Fastcase → vLex → Clio.</w:t>
      </w:r>
    </w:p>
    <w:p>
      <w:pPr>
        <w:tabs>
          <w:tab w:pos="10224" w:val="right"/>
        </w:tabs>
        <w:spacing w:before="120" w:after="0"/>
      </w:pPr>
      <w:r>
        <w:rPr>
          <w:b/>
        </w:rPr>
        <w:t>Vice President, Solutions Champion</w:t>
      </w:r>
      <w:r>
        <w:t>, vLex</w:t>
      </w:r>
      <w:r>
        <w:rPr>
          <w:i/>
        </w:rPr>
        <w:tab/>
        <w:t>Apr 2023 – Nov 2025</w:t>
      </w:r>
    </w:p>
    <w:p>
      <w:pPr>
        <w:pStyle w:val="ListBullet"/>
        <w:spacing w:after="40"/>
      </w:pPr>
      <w:r>
        <w:t>Led design, development, and expansion of products integrating generative AI into legal workflows and analytics.</w:t>
      </w:r>
    </w:p>
    <w:p>
      <w:pPr>
        <w:tabs>
          <w:tab w:pos="10224" w:val="right"/>
        </w:tabs>
        <w:spacing w:before="120" w:after="0"/>
      </w:pPr>
      <w:r>
        <w:rPr>
          <w:b/>
        </w:rPr>
        <w:t>VP, Litigation Workflow &amp; Analytics Content; Managing Director (Product Workflow; Legal Research Platform)</w:t>
      </w:r>
      <w:r>
        <w:t>, Fastcase</w:t>
      </w:r>
      <w:r>
        <w:rPr>
          <w:i/>
        </w:rPr>
        <w:tab/>
        <w:t>Jul 2019 – May 2023</w:t>
      </w:r>
    </w:p>
    <w:p>
      <w:pPr>
        <w:pStyle w:val="ListBullet"/>
        <w:spacing w:after="40"/>
      </w:pPr>
      <w:r>
        <w:t>Led litigation-analytics content and product workflow; built AI-backed legal-research and docket-analytics products.</w:t>
      </w:r>
    </w:p>
    <w:p>
      <w:pPr>
        <w:tabs>
          <w:tab w:pos="10224" w:val="right"/>
        </w:tabs>
        <w:spacing w:before="120" w:after="0"/>
      </w:pPr>
      <w:r>
        <w:rPr>
          <w:b/>
        </w:rPr>
        <w:t>Vice President &amp; Engagement Manager</w:t>
      </w:r>
      <w:r>
        <w:t>, Stroz Friedberg (an Aon company)</w:t>
      </w:r>
      <w:r>
        <w:rPr>
          <w:i/>
        </w:rPr>
        <w:tab/>
        <w:t>Jun 2017 – Jun 2019</w:t>
      </w:r>
    </w:p>
    <w:p>
      <w:pPr>
        <w:pStyle w:val="ListBullet"/>
        <w:spacing w:after="40"/>
      </w:pPr>
      <w:r>
        <w:t>Led world-scale cybersecurity, incident-response, and digital-forensics investigations.</w:t>
      </w:r>
    </w:p>
    <w:p>
      <w:pPr>
        <w:tabs>
          <w:tab w:pos="10224" w:val="right"/>
        </w:tabs>
        <w:spacing w:before="120" w:after="0"/>
      </w:pPr>
      <w:r>
        <w:rPr>
          <w:b/>
        </w:rPr>
        <w:t>Senior Product Strategist (Director level)</w:t>
      </w:r>
      <w:r>
        <w:t>, Thomson Reuters</w:t>
      </w:r>
      <w:r>
        <w:rPr>
          <w:i/>
        </w:rPr>
        <w:tab/>
        <w:t>Mar 2015 – May 2016</w:t>
      </w:r>
    </w:p>
    <w:p>
      <w:pPr>
        <w:pStyle w:val="ListBullet"/>
        <w:spacing w:after="40"/>
      </w:pPr>
      <w:r>
        <w:t>AI/ML/NLP for the legal industry and the judiciary, at the world's largest legal-technology company.</w:t>
      </w:r>
    </w:p>
    <w:p>
      <w:pPr>
        <w:tabs>
          <w:tab w:pos="10224" w:val="right"/>
        </w:tabs>
        <w:spacing w:before="120" w:after="0"/>
      </w:pPr>
      <w:r>
        <w:rPr>
          <w:b/>
        </w:rPr>
        <w:t>Attorney</w:t>
      </w:r>
      <w:r>
        <w:t>, Robins Kaplan LLP</w:t>
      </w:r>
      <w:r>
        <w:rPr>
          <w:i/>
        </w:rPr>
        <w:tab/>
        <w:t>Sep 2005 – Mar 2015</w:t>
      </w:r>
    </w:p>
    <w:p>
      <w:pPr>
        <w:pStyle w:val="ListBullet"/>
        <w:spacing w:after="40"/>
      </w:pPr>
      <w:r>
        <w:t>Nine-plus years of complex litigation and technology business advice.</w:t>
      </w:r>
    </w:p>
    <w:p>
      <w:pPr>
        <w:tabs>
          <w:tab w:pos="10224" w:val="right"/>
        </w:tabs>
        <w:spacing w:before="120" w:after="0"/>
      </w:pPr>
      <w:r>
        <w:rPr>
          <w:b/>
        </w:rPr>
        <w:t>Judicial Clerk to Hon. Michael J. Davis, Chief Judge</w:t>
      </w:r>
      <w:r>
        <w:t>, U.S. District Court, D. Minnesota</w:t>
      </w:r>
      <w:r>
        <w:rPr>
          <w:i/>
        </w:rPr>
        <w:tab/>
        <w:t>Aug 2004 – Aug 2005</w:t>
      </w:r>
    </w:p>
    <w:p>
      <w:pPr>
        <w:tabs>
          <w:tab w:pos="10224" w:val="right"/>
        </w:tabs>
        <w:spacing w:before="120" w:after="0"/>
      </w:pPr>
      <w:r>
        <w:rPr>
          <w:b/>
        </w:rPr>
        <w:t>Judicial Clerk to Chief Judge Edward Toussaint</w:t>
      </w:r>
      <w:r>
        <w:t>, Minnesota Court of Appeals</w:t>
      </w:r>
      <w:r>
        <w:rPr>
          <w:i/>
        </w:rPr>
        <w:tab/>
        <w:t>Aug 2002 – Aug 2003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BOARDS &amp; APPOINTMENTS</w:t>
      </w:r>
    </w:p>
    <w:p>
      <w:pPr>
        <w:pStyle w:val="ListBullet"/>
        <w:spacing w:after="40"/>
      </w:pPr>
      <w:r>
        <w:t>Chair, AI Committee, Minnesota State Bar Association — oversees the AI Sandbox expanding legal services to underserved communities.</w:t>
      </w:r>
    </w:p>
    <w:p>
      <w:pPr>
        <w:pStyle w:val="ListBullet"/>
        <w:spacing w:after="40"/>
      </w:pPr>
      <w:r>
        <w:t>Co-Chair, Minnesota Governor's Council on Connected &amp; Automated Vehicles (appointed by Gov. Walz), 2019–present.</w:t>
      </w:r>
    </w:p>
    <w:p>
      <w:pPr>
        <w:pStyle w:val="ListBullet"/>
        <w:spacing w:after="40"/>
      </w:pPr>
      <w:r>
        <w:t>Board Member, ALEA Institute (open-source KL3M models + FOLIO), 2024–present; Board Member, Scale Justice (formerly Pro Bono Net), 2025–present.</w:t>
      </w:r>
    </w:p>
    <w:p>
      <w:pPr>
        <w:pStyle w:val="ListBullet"/>
        <w:spacing w:after="40"/>
      </w:pPr>
      <w:r>
        <w:t>Member, Colorado Supreme Court Legal Technology Advisory Committee.</w:t>
      </w:r>
    </w:p>
    <w:p>
      <w:pPr>
        <w:pStyle w:val="ListBullet"/>
        <w:spacing w:after="40"/>
      </w:pPr>
      <w:r>
        <w:t>Federal courts' Electronic Public Access Public User Group (2025).</w:t>
      </w:r>
    </w:p>
    <w:p>
      <w:pPr>
        <w:pStyle w:val="ListBullet"/>
        <w:spacing w:after="40"/>
      </w:pPr>
      <w:r>
        <w:t>Leadership Team, SALI Alliance (2020–2025).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EDUCATION</w:t>
      </w:r>
    </w:p>
    <w:p>
      <w:r>
        <w:t>J.D., William Mitchell College of Law (1999–2002) — Executive Editor, William Mitchell Law Review.</w:t>
      </w:r>
    </w:p>
    <w:p>
      <w:r>
        <w:t>B.S., Music Education, North Dakota State University (1993–1997).</w:t>
      </w:r>
    </w:p>
    <w:p>
      <w:pPr>
        <w:spacing w:before="200" w:after="40"/>
        <w:pBdr>
          <w:bottom w:val="single" w:sz="6" w:space="1" w:color="1F3A5F"/>
        </w:pBdr>
      </w:pPr>
      <w:r>
        <w:rPr>
          <w:b/>
          <w:color w:val="1F3A5F"/>
          <w:sz w:val="22"/>
        </w:rPr>
        <w:t>PUBLICATIONS &amp; BOOKS</w:t>
      </w:r>
    </w:p>
    <w:p>
      <w:pPr>
        <w:pStyle w:val="ListBullet"/>
        <w:spacing w:after="40"/>
      </w:pPr>
      <w:r>
        <w:t>Co-author, West Academic trial-practice trilogy (Pretrial Litigation; Trial Advocacy; Trialbook) — each with an AI-interactive (QR-code) layer.</w:t>
      </w:r>
    </w:p>
    <w:p>
      <w:pPr>
        <w:pStyle w:val="ListBullet"/>
        <w:spacing w:after="40"/>
      </w:pPr>
      <w:r>
        <w:t>“AI + MSBA: Building Minnesota's Legal Future,” 81-Oct. Bench &amp; Bar of Minn. 26 (2024) — quoted in Kohls v. Ellison.</w:t>
      </w:r>
    </w:p>
    <w:p>
      <w:pPr>
        <w:pStyle w:val="ListBullet"/>
        <w:spacing w:after="40"/>
      </w:pPr>
      <w:r>
        <w:t>Approximately fourteen authored articles on legal technology, copyright, digital forensics, and the law of emerging technology.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